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color w:val="c00000"/>
          <w:sz w:val="36"/>
          <w:szCs w:val="36"/>
          <w:vertAlign w:val="baseline"/>
          <w:rtl w:val="0"/>
        </w:rPr>
        <w:t xml:space="preserve">IMPROVVISAMENTE DIVERSI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44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4"/>
        <w:gridCol w:w="2917"/>
        <w:gridCol w:w="907"/>
        <w:gridCol w:w="1851"/>
        <w:gridCol w:w="61"/>
        <w:gridCol w:w="5736"/>
        <w:tblGridChange w:id="0">
          <w:tblGrid>
            <w:gridCol w:w="3014"/>
            <w:gridCol w:w="2917"/>
            <w:gridCol w:w="907"/>
            <w:gridCol w:w="1851"/>
            <w:gridCol w:w="61"/>
            <w:gridCol w:w="5736"/>
          </w:tblGrid>
        </w:tblGridChange>
      </w:tblGrid>
      <w:tr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shd w:fill="d9d9d9" w:val="clear"/>
                <w:vertAlign w:val="baseline"/>
                <w:rtl w:val="0"/>
              </w:rPr>
              <w:t xml:space="preserve">Destinatari</w:t>
            </w:r>
          </w:p>
        </w:tc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vertAlign w:val="baseline"/>
                <w:rtl w:val="0"/>
              </w:rPr>
              <w:t xml:space="preserve">Classi seconde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vertAlign w:val="baseline"/>
                <w:rtl w:val="0"/>
              </w:rPr>
              <w:t xml:space="preserve">IIS “Luca Pacioli” – Crema</w:t>
            </w:r>
          </w:p>
        </w:tc>
        <w:tc>
          <w:tcPr>
            <w:gridSpan w:val="2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vertAlign w:val="baseline"/>
                <w:rtl w:val="0"/>
              </w:rPr>
              <w:t xml:space="preserve">Periodo di applicazione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vertAlign w:val="baseline"/>
                <w:rtl w:val="0"/>
              </w:rPr>
              <w:t xml:space="preserve">(ore totali: 5 ca)</w:t>
            </w:r>
          </w:p>
        </w:tc>
        <w:tc>
          <w:tcPr>
            <w:gridSpan w:val="2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vertAlign w:val="baseline"/>
                <w:rtl w:val="0"/>
              </w:rPr>
              <w:t xml:space="preserve">Mese di Ottobre</w:t>
            </w:r>
          </w:p>
        </w:tc>
      </w:tr>
      <w:tr>
        <w:trPr>
          <w:trHeight w:val="4040" w:hRule="atLeast"/>
        </w:trPr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shd w:fill="d9d9d9" w:val="clear"/>
                <w:vertAlign w:val="baseline"/>
                <w:rtl w:val="0"/>
              </w:rPr>
              <w:t xml:space="preserve">Breve presentazione UdA</w:t>
            </w:r>
          </w:p>
        </w:tc>
        <w:tc>
          <w:tcPr>
            <w:gridSpan w:val="5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147" w:right="21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0"/>
                <w:szCs w:val="20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f243e"/>
                <w:sz w:val="20"/>
                <w:szCs w:val="20"/>
                <w:vertAlign w:val="baseline"/>
                <w:rtl w:val="0"/>
              </w:rPr>
              <w:t xml:space="preserve">Una mattina di ottobre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0"/>
                <w:szCs w:val="20"/>
                <w:vertAlign w:val="baseline"/>
                <w:rtl w:val="0"/>
              </w:rPr>
              <w:t xml:space="preserve">[la maestra]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f243e"/>
                <w:sz w:val="20"/>
                <w:szCs w:val="20"/>
                <w:vertAlign w:val="baseline"/>
                <w:rtl w:val="0"/>
              </w:rPr>
              <w:t xml:space="preserve"> salì in cattedra e ci fece un lungo discorso di cui compresi abbastanza poco. Ci raccontò che esistevano razze diverse, alcune buone, altre meno; che l’Italia aveva conquistato l’Impero, ma che molte forze oscure insidiavano il glorioso cammino del Paese; che tra i nemici della patria, ve ne erano alcuni in mezzo a noi, gli ebrei, che andavano isolati. Insistette due o tre volte sul concetto di «nemici della patria». Poi, prese il registro, chiamò il mio nome e disse: «Bassi, esci dalla classe!».”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147" w:right="211" w:firstLine="0"/>
              <w:contextualSpacing w:val="0"/>
              <w:jc w:val="right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0"/>
                <w:szCs w:val="20"/>
                <w:vertAlign w:val="baseline"/>
                <w:rtl w:val="0"/>
              </w:rPr>
              <w:t xml:space="preserve">(Roberto Bassi,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f243e"/>
                <w:sz w:val="20"/>
                <w:szCs w:val="20"/>
                <w:vertAlign w:val="baseline"/>
                <w:rtl w:val="0"/>
              </w:rPr>
              <w:t xml:space="preserve">Scaramucce sul lago Ladoga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0"/>
                <w:szCs w:val="20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147" w:right="211" w:firstLine="0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147" w:right="21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0"/>
                <w:szCs w:val="20"/>
                <w:vertAlign w:val="baseline"/>
                <w:rtl w:val="0"/>
              </w:rPr>
              <w:t xml:space="preserve">“[La libertà di espressione]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f243e"/>
                <w:sz w:val="20"/>
                <w:szCs w:val="20"/>
                <w:vertAlign w:val="baseline"/>
                <w:rtl w:val="0"/>
              </w:rPr>
              <w:t xml:space="preserve">non coincide con l’affermare quel che si vuole, bensì ciò che si crede vero sulla base di buone ragioni, di buone giustificazioni, conoscendo il significato dell’affermazione stessa. Saper fare affermazioni è capacità richiesta alle persone in ogni società civile in cui viga la necessità delle proprie responsabilità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0"/>
                <w:szCs w:val="20"/>
                <w:vertAlign w:val="baseline"/>
                <w:rtl w:val="0"/>
              </w:rPr>
              <w:t xml:space="preserve">[…]”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147" w:right="211" w:firstLine="0"/>
              <w:contextualSpacing w:val="0"/>
              <w:jc w:val="right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0"/>
                <w:szCs w:val="20"/>
                <w:vertAlign w:val="baseline"/>
                <w:rtl w:val="0"/>
              </w:rPr>
              <w:t xml:space="preserve">(Nicla Vassallo,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f243e"/>
                <w:sz w:val="20"/>
                <w:szCs w:val="20"/>
                <w:vertAlign w:val="baseline"/>
                <w:rtl w:val="0"/>
              </w:rPr>
              <w:t xml:space="preserve">«Il matrimonio omosessuale è contro natura». Falso!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0"/>
                <w:szCs w:val="20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147" w:right="21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147" w:right="21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0"/>
                <w:szCs w:val="20"/>
                <w:vertAlign w:val="baseline"/>
                <w:rtl w:val="0"/>
              </w:rPr>
              <w:t xml:space="preserve">Il percorso è pensato principalmente (ma non necessariamente) per le classi del biennio. Intende far ragionare i ragazzi su come sottili atteggiamenti discriminatori si possano annidare anche nelle nostre interazioni sociali quotidiane.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147" w:right="21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0"/>
                <w:szCs w:val="20"/>
                <w:vertAlign w:val="baseline"/>
                <w:rtl w:val="0"/>
              </w:rPr>
              <w:t xml:space="preserve">Il linguaggio spesso diviene strumento – più o meno maliziosamente – di esclusione e discriminazione piuttosto che di inclusione e confronto. Anche nei nostri ragionamenti le argomentazioni fallaci sono più diffuse di quanto si creda. Queste, a volte in buona fede a volte un po’ meno…, favoriscono fatalmente il progressivo – per quanto impercettibile – scivolamento verso il luogo comune, la generalizzazione, lo stereotipo. Da qui il passo verso la discriminazione e la prevaricazione può essere breve; anche all’interno delle consuete interazioni quotidiane con i nostri gruppi sociali di riferimento. 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147" w:right="21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0"/>
                <w:szCs w:val="20"/>
                <w:vertAlign w:val="baseline"/>
                <w:rtl w:val="0"/>
              </w:rPr>
              <w:t xml:space="preserve">L’intento dell’unità è quello di far cogliere ai ragazzi come le malizie utilizzate dalla propaganda di regime si possano celare,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f243e"/>
                <w:sz w:val="20"/>
                <w:szCs w:val="20"/>
                <w:vertAlign w:val="baseline"/>
                <w:rtl w:val="0"/>
              </w:rPr>
              <w:t xml:space="preserve">mutatis mutandis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0"/>
                <w:szCs w:val="20"/>
                <w:vertAlign w:val="baseline"/>
                <w:rtl w:val="0"/>
              </w:rPr>
              <w:t xml:space="preserve">, nelle pieghe della nostra quotidianità (pubblicità, dibattiti televisivi, conversazioni tra amici, ecc.).</w:t>
            </w:r>
          </w:p>
        </w:tc>
      </w:tr>
      <w:tr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shd w:fill="d9d9d9" w:val="clear"/>
                <w:vertAlign w:val="baseline"/>
                <w:rtl w:val="0"/>
              </w:rPr>
              <w:t xml:space="preserve">Docenti coinvolti</w:t>
            </w:r>
          </w:p>
        </w:tc>
        <w:tc>
          <w:tcPr>
            <w:gridSpan w:val="5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vertAlign w:val="baseline"/>
                <w:rtl w:val="0"/>
              </w:rPr>
              <w:t xml:space="preserve">Storia</w:t>
            </w:r>
          </w:p>
        </w:tc>
      </w:tr>
      <w:tr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shd w:fill="d9d9d9" w:val="clear"/>
                <w:vertAlign w:val="baseline"/>
                <w:rtl w:val="0"/>
              </w:rPr>
              <w:t xml:space="preserve">Compito/Prodotto previsto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numPr>
                <w:ilvl w:val="0"/>
                <w:numId w:val="5"/>
              </w:numPr>
              <w:spacing w:after="0" w:before="0" w:line="276" w:lineRule="auto"/>
              <w:ind w:left="288" w:hanging="218"/>
              <w:rPr>
                <w:rFonts w:ascii="Cambria" w:cs="Cambria" w:eastAsia="Cambria" w:hAnsi="Cambria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Riconosce e spiega argomentazioni inconsistenti e fallacie logiche all’interno della comunicazione quotidiana.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288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In alternativa: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5"/>
              </w:numPr>
              <w:spacing w:after="0" w:before="0" w:line="276" w:lineRule="auto"/>
              <w:ind w:left="288" w:hanging="218"/>
              <w:rPr>
                <w:rFonts w:ascii="Cambria" w:cs="Cambria" w:eastAsia="Cambria" w:hAnsi="Cambria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Realizza brevi filmati in cui inscena semplici contesti di interazione comunicativa falsata da errori logici.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288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Possibile sviluppo nell’ottica del “compito di realtà”: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5"/>
              </w:numPr>
              <w:spacing w:after="0" w:before="0" w:line="276" w:lineRule="auto"/>
              <w:ind w:left="288" w:hanging="218"/>
              <w:rPr>
                <w:rFonts w:ascii="Cambria" w:cs="Cambria" w:eastAsia="Cambria" w:hAnsi="Cambria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Analizza e commenta le modalità di interazione all’interno di un’assemblea di classe.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f243e" w:space="0" w:sz="8" w:val="single"/>
              <w:left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shd w:fill="d9d9d9" w:val="clear"/>
                <w:vertAlign w:val="baseline"/>
                <w:rtl w:val="0"/>
              </w:rPr>
              <w:t xml:space="preserve">Assi culturali: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shd w:fill="d9d9d9" w:val="clear"/>
                <w:vertAlign w:val="baseline"/>
                <w:rtl w:val="0"/>
              </w:rPr>
              <w:t xml:space="preserve">Asse dei linguaggi</w:t>
            </w:r>
          </w:p>
        </w:tc>
        <w:tc>
          <w:tcPr>
            <w:gridSpan w:val="2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numPr>
                <w:ilvl w:val="0"/>
                <w:numId w:val="3"/>
              </w:numPr>
              <w:spacing w:after="0" w:before="0" w:line="276" w:lineRule="auto"/>
              <w:ind w:left="425" w:hanging="360"/>
              <w:rPr>
                <w:rFonts w:ascii="Cambria" w:cs="Cambria" w:eastAsia="Cambria" w:hAnsi="Cambria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Acquisire e interpretare l’informazione.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3"/>
              </w:numPr>
              <w:spacing w:after="0" w:before="0" w:line="276" w:lineRule="auto"/>
              <w:ind w:left="425" w:hanging="360"/>
              <w:rPr>
                <w:rFonts w:ascii="Cambria" w:cs="Cambria" w:eastAsia="Cambria" w:hAnsi="Cambria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Individuare collegamenti e relazioni.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3"/>
              </w:numPr>
              <w:spacing w:after="0" w:before="0" w:line="276" w:lineRule="auto"/>
              <w:ind w:left="425" w:hanging="360"/>
              <w:rPr>
                <w:rFonts w:ascii="Cambria" w:cs="Cambria" w:eastAsia="Cambria" w:hAnsi="Cambria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Collaborare e partecipare.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f243e" w:space="0" w:sz="8" w:val="single"/>
              <w:left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Traguardi di competenza da raggiungere</w:t>
            </w:r>
          </w:p>
        </w:tc>
        <w:tc>
          <w:tcPr>
            <w:gridSpan w:val="3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widowControl w:val="1"/>
              <w:numPr>
                <w:ilvl w:val="0"/>
                <w:numId w:val="4"/>
              </w:numPr>
              <w:spacing w:after="0" w:before="0" w:line="276" w:lineRule="auto"/>
              <w:ind w:left="425" w:hanging="360"/>
              <w:rPr>
                <w:rFonts w:ascii="Cambria" w:cs="Cambria" w:eastAsia="Cambria" w:hAnsi="Cambria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Seleziona e interpreta in maniera critica le informazioni, sia in fase di ricezione  sia in fase di produzione.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4"/>
              </w:numPr>
              <w:spacing w:after="0" w:before="0" w:line="276" w:lineRule="auto"/>
              <w:ind w:left="425" w:hanging="360"/>
              <w:rPr>
                <w:rFonts w:ascii="Cambria" w:cs="Cambria" w:eastAsia="Cambria" w:hAnsi="Cambria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Partecipa in maniera consapevole e costruttiva a un confronto pubblico (assemblea di classe).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f243e" w:space="0" w:sz="8" w:val="single"/>
              <w:left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Nodi disciplinari</w:t>
            </w:r>
          </w:p>
        </w:tc>
        <w:tc>
          <w:tcPr>
            <w:gridSpan w:val="3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Argomentazione (corretta e fallace), luogo comune, generalizzazione, discriminazione, persuasione.</w:t>
            </w:r>
          </w:p>
        </w:tc>
      </w:tr>
      <w:tr>
        <w:tc>
          <w:tcPr>
            <w:vMerge w:val="restart"/>
            <w:tcBorders>
              <w:top w:color="0f243e" w:space="0" w:sz="8" w:val="single"/>
              <w:left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shd w:fill="d9d9d9" w:val="clear"/>
                <w:vertAlign w:val="baseline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shd w:fill="d9d9d9" w:val="clear"/>
                <w:vertAlign w:val="baseline"/>
                <w:rtl w:val="0"/>
              </w:rPr>
              <w:t xml:space="preserve">Disciplinari e trasversali</w:t>
            </w:r>
          </w:p>
        </w:tc>
        <w:tc>
          <w:tcPr>
            <w:gridSpan w:val="4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shd w:fill="d9d9d9" w:val="clear"/>
                <w:vertAlign w:val="baseline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shd w:fill="d9d9d9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f243e" w:space="0" w:sz="8" w:val="single"/>
              <w:left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numPr>
                <w:ilvl w:val="0"/>
                <w:numId w:val="6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Riconosce le false argomentazioni nella comuni-cazione persuasiva, ovvero le logiche propagandi-stiche così come le pregiudiziali ideologiche dissimulate in contesti insospettati (ed espresse in codici diversi: linguistico, iconico).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6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Interpreta in maniera critica e consapevole i documenti alla luce di nuove informazioni acquisite.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6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Discute e argomenta (pure all’interno del gruppo).</w:t>
            </w:r>
          </w:p>
        </w:tc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numPr>
                <w:ilvl w:val="0"/>
                <w:numId w:val="7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Sillogismo.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7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Argomentazione fallace.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7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Tipologie di fallacie argomentative.</w:t>
            </w:r>
          </w:p>
        </w:tc>
      </w:tr>
      <w:tr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shd w:fill="d9d9d9" w:val="clear"/>
                <w:vertAlign w:val="baseline"/>
                <w:rtl w:val="0"/>
              </w:rPr>
              <w:t xml:space="preserve">Pre-requisiti</w:t>
            </w:r>
          </w:p>
        </w:tc>
        <w:tc>
          <w:tcPr>
            <w:gridSpan w:val="4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numPr>
                <w:ilvl w:val="0"/>
                <w:numId w:val="8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Usa il dizionario (anche in versione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f243e"/>
                <w:sz w:val="22"/>
                <w:szCs w:val="22"/>
                <w:vertAlign w:val="baseline"/>
                <w:rtl w:val="0"/>
              </w:rPr>
              <w:t xml:space="preserve">on-line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) in modo funzionale.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8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Usa strumenti informatici di condivisione e collaborazione nel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f243e"/>
                <w:sz w:val="22"/>
                <w:szCs w:val="22"/>
                <w:vertAlign w:val="baseline"/>
                <w:rtl w:val="0"/>
              </w:rPr>
              <w:t xml:space="preserve">cloud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8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Ha familiarità con il lavoro di gruppo strutturato.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8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Ricava da un testo informazioni esplicite ma sa anche individuarne di implicite.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8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Riferisce un contenuto informativo.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8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Ascolta in modo attivo e prende appunti.</w:t>
            </w:r>
          </w:p>
        </w:tc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Conoscenza generica del contesto storico-sociale della Germania negli anni ’40 del Novecento.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Propaganda.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2"/>
                <w:szCs w:val="22"/>
                <w:vertAlign w:val="baseline"/>
                <w:rtl w:val="0"/>
              </w:rPr>
              <w:t xml:space="preserve">Antisemitismo e politiche connesse.</w:t>
            </w:r>
          </w:p>
        </w:tc>
      </w:tr>
      <w:tr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f243e"/>
                <w:sz w:val="24"/>
                <w:szCs w:val="24"/>
                <w:shd w:fill="d9d9d9" w:val="clear"/>
                <w:vertAlign w:val="baseline"/>
                <w:rtl w:val="0"/>
              </w:rPr>
              <w:t xml:space="preserve">Tempi e fasi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Che cosa fa il docente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  <w:jc w:val="center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(e con quali strumenti)</w:t>
            </w:r>
          </w:p>
        </w:tc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28" w:firstLine="0"/>
              <w:contextualSpacing w:val="0"/>
              <w:jc w:val="center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Che cosa fanno gli alunni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28" w:firstLine="0"/>
              <w:contextualSpacing w:val="0"/>
              <w:jc w:val="center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(e con quali strumenti)</w:t>
            </w:r>
          </w:p>
        </w:tc>
      </w:tr>
      <w:tr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f2f2f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FASE 1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(tempi: 15’)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“Incipit”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bookmarkStart w:colFirst="0" w:colLast="0" w:name="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Spiega agli alunni il gioco di interazione “</w:t>
            </w:r>
            <w:hyperlink r:id="rId5">
              <w:r w:rsidDel="00000000" w:rsidR="00000000" w:rsidRPr="00000000">
                <w:rPr>
                  <w:rFonts w:ascii="Cambria" w:cs="Cambria" w:eastAsia="Cambria" w:hAnsi="Cambria"/>
                  <w:b w:val="0"/>
                  <w:i w:val="1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Mi piace / non mi piace</w:t>
              </w:r>
            </w:hyperlink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”. Il gioco funge da aggancio motivazionale e ha lo scopo di suscitare attenzione e curiosità nei confronti di quanto verrà proposto, oltre che di anticipare alcuni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focus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tematici.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Invita gli alunni a disporsi come previsto dal gioco e avvia l’attività (che può eventualmente essere videoripresa).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Conclude l’attività con una breve fase di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debriefing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, che serve da “ponte” verso la fase successiva.</w:t>
            </w:r>
          </w:p>
        </w:tc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Ascoltano e, nel caso, pongono domande.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Svolgono l’attività.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Interagiscono tra loro e con il docente, rispondendo alle domande-stimolo di quest’ultimo.</w:t>
            </w:r>
          </w:p>
        </w:tc>
      </w:tr>
      <w:tr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f2f2f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FASE 2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(tempi: 150’)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C.   a/b/c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A.   a/b/c</w:t>
            </w:r>
          </w:p>
        </w:tc>
        <w:tc>
          <w:tcPr>
            <w:gridSpan w:val="4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Riparte da quanto emerso nel commento all’attività precedente e introduce il concetto di “ragionamento logico” o “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sillogismo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”: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2"/>
              </w:numPr>
              <w:spacing w:after="0" w:before="0" w:line="276" w:lineRule="auto"/>
              <w:ind w:left="288" w:hanging="218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ne offre una rapida contestualizzazione storica;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2"/>
              </w:numPr>
              <w:spacing w:after="0" w:before="0" w:line="276" w:lineRule="auto"/>
              <w:ind w:left="288" w:hanging="218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ne presenta la struttura;</w:t>
            </w:r>
          </w:p>
          <w:p w:rsidR="00000000" w:rsidDel="00000000" w:rsidP="00000000" w:rsidRDefault="00000000" w:rsidRPr="00000000">
            <w:pPr>
              <w:widowControl w:val="1"/>
              <w:numPr>
                <w:ilvl w:val="0"/>
                <w:numId w:val="2"/>
              </w:numPr>
              <w:spacing w:after="0" w:before="0" w:line="276" w:lineRule="auto"/>
              <w:ind w:left="288" w:hanging="218"/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introduce il concetto di “falso sillogismo” (o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ragionamento fallace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 cui la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conseguenza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solo apparentemente deriva dalle due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premesse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Propone esempi di falso sillogismo. </w:t>
            </w:r>
          </w:p>
          <w:p w:rsidR="00000000" w:rsidDel="00000000" w:rsidP="00000000" w:rsidRDefault="00000000" w:rsidRPr="00000000">
            <w:pPr>
              <w:widowControl w:val="1"/>
              <w:spacing w:after="24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Questa presentazione avviene in modalità frontale (vd </w:t>
            </w:r>
            <w:hyperlink r:id="rId6">
              <w:r w:rsidDel="00000000" w:rsidR="00000000" w:rsidRPr="00000000">
                <w:rPr>
                  <w:rFonts w:ascii="Cambria" w:cs="Cambria" w:eastAsia="Cambria" w:hAnsi="Cambria"/>
                  <w:b w:val="0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scheda </w:t>
              </w:r>
            </w:hyperlink>
            <w:hyperlink r:id="rId7">
              <w:r w:rsidDel="00000000" w:rsidR="00000000" w:rsidRPr="00000000">
                <w:rPr>
                  <w:rFonts w:ascii="Cambria" w:cs="Cambria" w:eastAsia="Cambria" w:hAnsi="Cambria"/>
                  <w:b w:val="0"/>
                  <w:i w:val="1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Sillogismo</w:t>
              </w:r>
            </w:hyperlink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), ca 30’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Presenta il lavoro di gruppo, illustrando consegna, ruoli, materiali, tempi.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10’ 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Avvia il lavoro di gruppo.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Gira fra le isole di lavoro offrendo delucidazioni, motivazione e supporto. L’intervento del docente non dovrà fornire le risposte cercate dagli studenti, bensì dovrà creare le condizioni perché gli studenti sfruttino al meglio le risorse (materiali e umane) interne al gruppo.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60’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Invita i porta-voce di ciascun gruppo a riferire circa le rispettive consegne ed esiti relativi.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40’</w:t>
            </w:r>
          </w:p>
        </w:tc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Ascoltano e prendono appunti.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Interagiscono con il docente e pongono domande.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Ascoltano e chiedono chiarimenti.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Si dividono in gruppi, prendendo posto come indicato dal docente.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bookmarkStart w:colFirst="0" w:colLast="0" w:name="h.30j0zll" w:id="1"/>
            <w:bookmarkEnd w:id="1"/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Si assegnano i ruoli (vd </w:t>
            </w:r>
            <w:hyperlink r:id="rId8">
              <w:r w:rsidDel="00000000" w:rsidR="00000000" w:rsidRPr="00000000">
                <w:rPr>
                  <w:rFonts w:ascii="Cambria" w:cs="Cambria" w:eastAsia="Cambria" w:hAnsi="Cambria"/>
                  <w:b w:val="0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scheda “Ruoli_1”</w:t>
              </w:r>
            </w:hyperlink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bookmarkStart w:colFirst="0" w:colLast="0" w:name="h.1fob9te" w:id="2"/>
            <w:bookmarkEnd w:id="2"/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Viene letta la consegna (vd schede “</w:t>
            </w:r>
            <w:hyperlink r:id="rId9">
              <w:r w:rsidDel="00000000" w:rsidR="00000000" w:rsidRPr="00000000">
                <w:rPr>
                  <w:rFonts w:ascii="Cambria" w:cs="Cambria" w:eastAsia="Cambria" w:hAnsi="Cambria"/>
                  <w:b w:val="0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Consegna_gruppo1</w:t>
              </w:r>
            </w:hyperlink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”, “</w:t>
            </w:r>
            <w:hyperlink r:id="rId10">
              <w:r w:rsidDel="00000000" w:rsidR="00000000" w:rsidRPr="00000000">
                <w:rPr>
                  <w:rFonts w:ascii="Cambria" w:cs="Cambria" w:eastAsia="Cambria" w:hAnsi="Cambria"/>
                  <w:b w:val="0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Consegna_gruppo2</w:t>
              </w:r>
            </w:hyperlink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”, “</w:t>
            </w:r>
            <w:hyperlink r:id="rId11">
              <w:r w:rsidDel="00000000" w:rsidR="00000000" w:rsidRPr="00000000">
                <w:rPr>
                  <w:rFonts w:ascii="Cambria" w:cs="Cambria" w:eastAsia="Cambria" w:hAnsi="Cambria"/>
                  <w:b w:val="0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Consegna_gruppo3</w:t>
              </w:r>
            </w:hyperlink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”, “</w:t>
            </w:r>
            <w:hyperlink r:id="rId12">
              <w:r w:rsidDel="00000000" w:rsidR="00000000" w:rsidRPr="00000000">
                <w:rPr>
                  <w:rFonts w:ascii="Cambria" w:cs="Cambria" w:eastAsia="Cambria" w:hAnsi="Cambria"/>
                  <w:b w:val="0"/>
                  <w:color w:val="1155cc"/>
                  <w:sz w:val="20"/>
                  <w:szCs w:val="20"/>
                  <w:u w:val="single"/>
                  <w:vertAlign w:val="baseline"/>
                  <w:rtl w:val="0"/>
                </w:rPr>
                <w:t xml:space="preserve">Consegna_gruppo4</w:t>
              </w:r>
            </w:hyperlink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”).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2 alunni studiano la fallacia cognitiva assegnata al gruppo.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Nel contempo gli altri 2 visionano la risorsa di riferimento.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 primi due spiegano quanto studiato agli altri due compagni.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Insieme, analizzando la risorsa assegnata (iconica o testuale), cercano di rintracciare dove è celata la fallacia appena studiata.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Arrivati a una soluzione condivisa, spiegano per iscritto l’esito delle loro riflessioni con relative motivazioni.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 porta-voce relazionano a turno alla classe in plenaria.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 componenti degli altri gruppi ascoltano, prendono appunti e chiedono delucidazioni.</w:t>
            </w:r>
          </w:p>
        </w:tc>
      </w:tr>
      <w:tr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f2f2f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FASE 3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(tempi: 90’)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A.   a/b/c</w:t>
            </w:r>
          </w:p>
        </w:tc>
        <w:tc>
          <w:tcPr>
            <w:gridSpan w:val="4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bookmarkStart w:colFirst="0" w:colLast="0" w:name="h.3znysh7" w:id="3"/>
            <w:bookmarkEnd w:id="3"/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Illustra alla classe un altro esempio di falso ragionamento tratto dalla pubblicità (</w:t>
            </w:r>
            <w:hyperlink r:id="rId13">
              <w:r w:rsidDel="00000000" w:rsidR="00000000" w:rsidRPr="00000000">
                <w:rPr>
                  <w:rFonts w:ascii="Cambria" w:cs="Cambria" w:eastAsia="Cambria" w:hAnsi="Cambria"/>
                  <w:b w:val="0"/>
                  <w:i w:val="1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Spot “Nespresso”_George Clooney</w:t>
              </w:r>
            </w:hyperlink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) e ne evidenzia la fallacia sottostante (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ad auctoritatem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10’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Presenta il lavoro di gruppo, illustrando consegna, ruoli, materiali, tempi.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10’ 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Avvia il lavoro di gruppo.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Come nella fase precedente, si aggira fra le isole di lavoro offrendo delucidazioni, motivazione e supporto.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30’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Invita i porta-voce di ciascun gruppo a riferire circa le rispettive consegne ed esiti relativi.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30’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Fa poi emergere – tramite una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lezione dialogata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– quanto tali logiche viziate siano pervasive e onnipresenti. Sottolinea come sia facile incorrere in false argomentazioni che diventano terreno d’elezione per il luogo comune, lo stereotipo, la generalizzazione, l’accusa ingiustificata.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Spiega agli alunni la </w:t>
            </w:r>
            <w:hyperlink r:id="rId14">
              <w:r w:rsidDel="00000000" w:rsidR="00000000" w:rsidRPr="00000000">
                <w:rPr>
                  <w:rFonts w:ascii="Cambria" w:cs="Cambria" w:eastAsia="Cambria" w:hAnsi="Cambria"/>
                  <w:b w:val="0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consegna domestica</w:t>
              </w:r>
            </w:hyperlink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. 10’</w:t>
            </w:r>
          </w:p>
        </w:tc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Ascoltano e rispondono alle sollecitazioni del docente.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Ascoltano e chiedono chiarimenti.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Si dividono in gruppi, prendendo posto come indicato dal docente.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bookmarkStart w:colFirst="0" w:colLast="0" w:name="h.2et92p0" w:id="4"/>
            <w:bookmarkEnd w:id="4"/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Si assegnano i ruoli (vd scheda “</w:t>
            </w:r>
            <w:hyperlink r:id="rId15">
              <w:r w:rsidDel="00000000" w:rsidR="00000000" w:rsidRPr="00000000">
                <w:rPr>
                  <w:rFonts w:ascii="Cambria" w:cs="Cambria" w:eastAsia="Cambria" w:hAnsi="Cambria"/>
                  <w:b w:val="0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Ruoli_2</w:t>
              </w:r>
            </w:hyperlink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”).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bookmarkStart w:colFirst="0" w:colLast="0" w:name="h.tyjcwt" w:id="5"/>
            <w:bookmarkEnd w:id="5"/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Viene letta la consegna (vd scheda “</w:t>
            </w:r>
            <w:hyperlink r:id="rId16">
              <w:r w:rsidDel="00000000" w:rsidR="00000000" w:rsidRPr="00000000">
                <w:rPr>
                  <w:rFonts w:ascii="Cambria" w:cs="Cambria" w:eastAsia="Cambria" w:hAnsi="Cambria"/>
                  <w:b w:val="0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Consegna_fase3</w:t>
              </w:r>
            </w:hyperlink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”).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Svolgono la consegna secondo i ruoli assegnati. Discutono e si confrontano all’interno del gruppo.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Pervengono a una soluzione condivisa.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 porta-voce relazionano a turno alla classe in plenaria.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 componenti degli altri gruppi ascoltano, prendono appunti e chiedono delucidazioni.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Ascoltano e fanno domande, chiedendo delucidazioni.</w:t>
            </w:r>
          </w:p>
        </w:tc>
      </w:tr>
      <w:tr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f2f2f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FASE 4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(tempi: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a casa   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→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  3gg</w:t>
            </w:r>
          </w:p>
          <w:p w:rsidR="00000000" w:rsidDel="00000000" w:rsidP="00000000" w:rsidRDefault="00000000" w:rsidRPr="00000000">
            <w:pPr>
              <w:widowControl w:val="1"/>
              <w:tabs>
                <w:tab w:val="left" w:pos="1885"/>
              </w:tabs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in classe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→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  40’)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A.   a/c</w:t>
            </w:r>
          </w:p>
        </w:tc>
        <w:tc>
          <w:tcPr>
            <w:gridSpan w:val="4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 casa, controlla le consegne inviate di volta in volta dagli alunni.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Al rientro a scuola presenta tutte le consegne inviate dagli alunni, invitando ciascuno studente a illustrare il proprio lavoro e i compagni a commentare/valutare.</w:t>
            </w:r>
          </w:p>
        </w:tc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 casa, individualmente, svolgono la consegna assegnata.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Inviano al docente la consegna per mezzo di un documento condiviso in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Google Drive.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A turno illustrano alla classe il proprio lavoro, spiegando e argomentando.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ind w:left="81" w:firstLine="0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Nel frattempo la classe assiste, pone domande e commenta.</w:t>
            </w:r>
          </w:p>
        </w:tc>
      </w:tr>
      <w:tr>
        <w:tc>
          <w:tcPr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shd w:fill="d9d9d9" w:val="clear"/>
                <w:vertAlign w:val="baseline"/>
                <w:rtl w:val="0"/>
              </w:rPr>
              <w:t xml:space="preserve">Valutazione</w:t>
            </w:r>
          </w:p>
        </w:tc>
        <w:tc>
          <w:tcPr>
            <w:gridSpan w:val="5"/>
            <w:tcBorders>
              <w:top w:color="0f243e" w:space="0" w:sz="8" w:val="single"/>
              <w:left w:color="0f243e" w:space="0" w:sz="8" w:val="single"/>
              <w:bottom w:color="0f243e" w:space="0" w:sz="8" w:val="single"/>
              <w:right w:color="0f243e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Verranno valutati gli esiti della consegna assegnata nella FASE 4.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Sarebbe auspicabile che siano i ragazzi stessi ad auto-valutare il proprio lavoro e, contestualmente, a valutare quello dei compagni.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Per l’occasione ci si avvarrà di una specifica griglia di valutazione [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da predisporre…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].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Nel caso in cui si intenda valutare le interazioni all’interno di un’assemblea di classe, si procederà ad una videoripresa della stessa.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Tale documentazione (meglio se preventivamente selezionata dal docente) verrà poi visionata autonomamente dai ragazzi che avranno il compito di segnalare (e motivare) in quali tipologie di scorrettezze argomentative si è incorsi durante il confronto.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17" w:type="default"/>
      <w:pgSz w:h="11906" w:w="16838"/>
      <w:pgMar w:bottom="567" w:top="284" w:left="1134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mbria"/>
  <w:font w:name="Wingding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819"/>
        <w:tab w:val="right" w:pos="9638"/>
      </w:tabs>
      <w:spacing w:after="0" w:before="708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risorse/gruppo%203/consegna_gruppo3.doc" TargetMode="External"/><Relationship Id="rId10" Type="http://schemas.openxmlformats.org/officeDocument/2006/relationships/hyperlink" Target="http://risorse/gruppo%202/consegna_gruppo2.doc" TargetMode="External"/><Relationship Id="rId13" Type="http://schemas.openxmlformats.org/officeDocument/2006/relationships/hyperlink" Target="https://www.youtube.com/watch?v=cLPqWXy029g" TargetMode="External"/><Relationship Id="rId12" Type="http://schemas.openxmlformats.org/officeDocument/2006/relationships/hyperlink" Target="https://drive.google.com/open?id=1Z57qme4OYxUI1cutTxr1ykgknwHy5hqMrJrgTxcvt2Y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risorse/gruppo%201/consegna_gruppo1.doc" TargetMode="External"/><Relationship Id="rId15" Type="http://schemas.openxmlformats.org/officeDocument/2006/relationships/hyperlink" Target="http://ruoli_2.doc" TargetMode="External"/><Relationship Id="rId14" Type="http://schemas.openxmlformats.org/officeDocument/2006/relationships/hyperlink" Target="http://risorse/consegna_fase3_domestica.doc" TargetMode="External"/><Relationship Id="rId17" Type="http://schemas.openxmlformats.org/officeDocument/2006/relationships/header" Target="header1.xml"/><Relationship Id="rId16" Type="http://schemas.openxmlformats.org/officeDocument/2006/relationships/hyperlink" Target="http://risorse/consegna_fase3.doc" TargetMode="External"/><Relationship Id="rId5" Type="http://schemas.openxmlformats.org/officeDocument/2006/relationships/hyperlink" Target="http://risorse/gioco%20di%20interazione_mipiacenonmipiace.doc" TargetMode="External"/><Relationship Id="rId6" Type="http://schemas.openxmlformats.org/officeDocument/2006/relationships/hyperlink" Target="http://risorse/Sillogismo.doc" TargetMode="External"/><Relationship Id="rId7" Type="http://schemas.openxmlformats.org/officeDocument/2006/relationships/hyperlink" Target="http://risorse/Sillogismo.doc" TargetMode="External"/><Relationship Id="rId8" Type="http://schemas.openxmlformats.org/officeDocument/2006/relationships/hyperlink" Target="http://ruoli_1.doc" TargetMode="External"/></Relationships>
</file>