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Fallacia ad auctoritatem (o “dell’autorità”)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Si incorre in questa fallacia quando, per sostenere un argomento, si fa riferimento non a ragioni, ma al fatto che un personaggio “autorevole” sostenga la stessa cosa. Generalmente l’autorevolezza di tale personaggio è presunta e tutta da provare. Non è comunque assodato che il far riferimento a ciò che egli sostiene sia di per sé un buon argomento per sostenere la tesi.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color w:val="000000"/>
          <w:sz w:val="24"/>
          <w:szCs w:val="24"/>
          <w:shd w:fill="f8f8f9" w:val="clear"/>
          <w:vertAlign w:val="baseline"/>
          <w:rtl w:val="0"/>
        </w:rPr>
        <w:t xml:space="preserve">E ‘importante notare che questo errore non dovrebbe essere utilizzato per respingere le richieste di esperti, o il consenso scientifico. Fare appello a un’autorità non rende gli argomenti validi, ma non è nemmeno ragionevole ignorare le affermazioni di esperti che hanno una dimostrata profonda conoscenza se non si ha un livello di comprensione e / o l’accesso ai dati empirici. Tuttavia, è del tutto possibile che il parere di una persona o istituzione di autorità sia sbagliato, quindi l’autorità che una tale persona o ente detiene non ha alcuna rilevanza intrinseca dal fatto che le loro affermazioni siano vere o 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Esempi: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i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E’ giusto così perché l’ha detto anche il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professore.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E’ proprio vero perché l’ho sentito per televisione.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Lo dicono tutti che….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 lo assicuro io che ne so più di 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0"/>
          <w:szCs w:val="20"/>
          <w:highlight w:val="white"/>
          <w:vertAlign w:val="baseline"/>
          <w:rtl w:val="0"/>
        </w:rPr>
        <w:t xml:space="preserve">Sitografia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hyperlink r:id="rId5">
        <w:r w:rsidDel="00000000" w:rsidR="00000000" w:rsidRPr="00000000">
          <w:rPr>
            <w:rFonts w:ascii="Cambria" w:cs="Cambria" w:eastAsia="Cambria" w:hAnsi="Cambria"/>
            <w:b w:val="0"/>
            <w:i w:val="0"/>
            <w:color w:val="000000"/>
            <w:sz w:val="20"/>
            <w:szCs w:val="20"/>
            <w:highlight w:val="white"/>
            <w:u w:val="single"/>
            <w:vertAlign w:val="baseline"/>
            <w:rtl w:val="0"/>
          </w:rPr>
          <w:t xml:space="preserve">www.luciorizzotto.it/classe4/filosofia/LE%20FALLACIE.doc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hyperlink r:id="rId7">
        <w:r w:rsidDel="00000000" w:rsidR="00000000" w:rsidRPr="00000000">
          <w:rPr>
            <w:rFonts w:ascii="Cambria" w:cs="Cambria" w:eastAsia="Cambria" w:hAnsi="Cambria"/>
            <w:b w:val="0"/>
            <w:i w:val="0"/>
            <w:color w:val="0000ff"/>
            <w:sz w:val="20"/>
            <w:szCs w:val="20"/>
            <w:u w:val="single"/>
            <w:vertAlign w:val="baseline"/>
            <w:rtl w:val="0"/>
          </w:rPr>
          <w:t xml:space="preserve">https://nicolasmicheletti.wordpress.com/fallacia/#vaticano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11">
        <w:r w:rsidDel="00000000" w:rsidR="00000000" w:rsidRPr="00000000">
          <w:rPr>
            <w:rtl w:val="0"/>
          </w:rPr>
        </w:r>
      </w:hyperlink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s://nicolasmicheletti.wordpress.com/fallacia/#vaticano" TargetMode="External"/><Relationship Id="rId10" Type="http://schemas.openxmlformats.org/officeDocument/2006/relationships/hyperlink" Target="https://nicolasmicheletti.wordpress.com/fallacia/#vaticano" TargetMode="External"/><Relationship Id="rId9" Type="http://schemas.openxmlformats.org/officeDocument/2006/relationships/hyperlink" Target="https://nicolasmicheletti.wordpress.com/fallacia/#vaticano" TargetMode="External"/><Relationship Id="rId5" Type="http://schemas.openxmlformats.org/officeDocument/2006/relationships/hyperlink" Target="http://www.luciorizzotto.it/classe4/filosofia/LE%20FALLACIE.doc" TargetMode="External"/><Relationship Id="rId6" Type="http://schemas.openxmlformats.org/officeDocument/2006/relationships/hyperlink" Target="http://www.luciorizzotto.it/classe4/filosofia/LE%20FALLACIE.doc" TargetMode="External"/><Relationship Id="rId7" Type="http://schemas.openxmlformats.org/officeDocument/2006/relationships/hyperlink" Target="https://nicolasmicheletti.wordpress.com/fallacia/#vaticano" TargetMode="External"/><Relationship Id="rId8" Type="http://schemas.openxmlformats.org/officeDocument/2006/relationships/hyperlink" Target="https://nicolasmicheletti.wordpress.com/fallacia/#vaticano" TargetMode="External"/></Relationships>
</file>