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mbria" w:cs="Cambria" w:eastAsia="Cambria" w:hAnsi="Cambria"/>
          <w:b w:val="1"/>
          <w:i w:val="1"/>
          <w:sz w:val="32"/>
          <w:szCs w:val="32"/>
          <w:vertAlign w:val="baseline"/>
          <w:rtl w:val="0"/>
        </w:rPr>
        <w:t xml:space="preserve">Consegna gruppo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Due componenti del gruppo (vd ruoli) hanno il compito di leggere e considerare la risorsa assegnata (“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Problemi matematici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”).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Nel frattempo gli altri due compagni (vd ruoli) studiano in che cosa consiste la “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fallacia della associazione illusoria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Tempi 10’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Successivamente le due coppie si scambieranno le informazioni, spiegandosi a vicenda ciò di cui si sono occupate.</w:t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Tempi 10’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Spesso la propaganda stereotipata e pregiudiziale infarciva i propri discorsi con argomentazioni inappropriate, come nel caso degli esercizi scolastici di cui ti sono dati degli esempi in “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Problemi matematici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”. All’interno di questi esercizi (in particolar modo nel n. 97) si cela la “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24"/>
          <w:szCs w:val="24"/>
          <w:vertAlign w:val="baseline"/>
          <w:rtl w:val="0"/>
        </w:rPr>
        <w:t xml:space="preserve">fallacia dell’associazione illusoria</w:t>
      </w:r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  <w:vertAlign w:val="baseline"/>
          <w:rtl w:val="0"/>
        </w:rPr>
        <w:t xml:space="preserve">”.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200" w:before="0" w:line="276" w:lineRule="auto"/>
        <w:ind w:left="360" w:hanging="360"/>
        <w:jc w:val="both"/>
        <w:rPr>
          <w:b w:val="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Individuate qual è il passaggio in questione in cui viene applicato un ragionamento viziato dalla fallacia di associazione illusoria.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before="0" w:line="276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➔"/>
      <w:lvlJc w:val="left"/>
      <w:pPr>
        <w:ind w:left="360" w:firstLine="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cs="Arial" w:eastAsia="Arial" w:hAnsi="Arial"/>
        <w:vertAlign w:val="baseline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cs="Arial" w:eastAsia="Arial" w:hAnsi="Arial"/>
        <w:vertAlign w:val="baseline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cs="Arial" w:eastAsia="Arial" w:hAnsi="Arial"/>
        <w:vertAlign w:val="baseline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cs="Arial" w:eastAsia="Arial" w:hAnsi="Arial"/>
        <w:vertAlign w:val="baseline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cs="Arial" w:eastAsia="Arial" w:hAnsi="Arial"/>
        <w:vertAlign w:val="baseline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cs="Arial" w:eastAsia="Arial" w:hAnsi="Arial"/>
        <w:vertAlign w:val="baseline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cs="Arial" w:eastAsia="Arial" w:hAnsi="Arial"/>
        <w:vertAlign w:val="baseline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cs="Arial" w:eastAsia="Arial" w:hAnsi="Arial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