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Fallacia di associazione illusoria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Secondo il paradigma della correlazione illusoria tendiamo a percepire come associati, benché ciò non sia vero, eventi insoliti e poco frequenti. In ambito sociale, ad esempio, Hamilton e Gifford (1976) hanno dimostrato che tendiamo ad associare eventi insoliti come l’essere membro di una minoranza (definita solo in termini numerici) e l’attuazione di un comportamento negativo.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Gli studi che hanno analizzato il paradigma della correlazione illusoria in età infantile il gruppo di minoranza è definito sia dall’essere costituito da bambini immigrati, sia dall’essere numericamente inferiore. Coloro che erano membri del gruppo di maggioranza attribuivano più frequentemente comportamenti negativi al gruppo di minoranza.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Più in generale, tale fallacia consiste nel presentare come associati e collegati fra loro due o più fatti che in realtà sono tra loro indipendenti. In questo modo si suggerisce fra i due una correlazione che di fatto è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illusoria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, non esiste, è creata in maniera arbitraria.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Esempi: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i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Sono stato male dopo che ho mangiato al ristorante. 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(Ma non è detto che le cause del mio malessere siano da rintracciare nelle portate del ristorante…).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L’esame mi è andato bene perché ho acceso un cero a S. Antonio che mi ha ascoltato. 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(Ma è difficile sostenere che la causa dell’esito positivo dell’esame sia stata la preghiera a S. Antonio…)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720" w:hanging="360"/>
        <w:jc w:val="both"/>
        <w:rPr>
          <w:rFonts w:ascii="Cambria" w:cs="Cambria" w:eastAsia="Cambria" w:hAnsi="Cambria"/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Da quando nella nostra città il flusso degli immigrati è aumentato le cose hanno iniziato ad andar male. 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(Ma è tutto da stabilire che ci sia una stretta correlazione fra i due elementi…)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1"/>
          <w:i w:val="1"/>
          <w:color w:val="000000"/>
          <w:sz w:val="20"/>
          <w:szCs w:val="20"/>
          <w:highlight w:val="white"/>
          <w:vertAlign w:val="baseline"/>
          <w:rtl w:val="0"/>
        </w:rPr>
        <w:t xml:space="preserve">Sitografia e bibliografia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hyperlink r:id="rId5">
        <w:r w:rsidDel="00000000" w:rsidR="00000000" w:rsidRPr="00000000">
          <w:rPr>
            <w:rFonts w:ascii="Cambria" w:cs="Cambria" w:eastAsia="Cambria" w:hAnsi="Cambria"/>
            <w:b w:val="0"/>
            <w:i w:val="1"/>
            <w:color w:val="000000"/>
            <w:sz w:val="20"/>
            <w:szCs w:val="20"/>
            <w:highlight w:val="white"/>
            <w:u w:val="none"/>
            <w:vertAlign w:val="baseline"/>
            <w:rtl w:val="0"/>
          </w:rPr>
          <w:t xml:space="preserve">www.aipass.org/abstract/dipentima.rtf</w:t>
        </w:r>
      </w:hyperlink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both"/>
      </w:pPr>
      <w:hyperlink r:id="rId7">
        <w:r w:rsidDel="00000000" w:rsidR="00000000" w:rsidRPr="00000000">
          <w:rPr>
            <w:rFonts w:ascii="Cambria" w:cs="Cambria" w:eastAsia="Cambria" w:hAnsi="Cambria"/>
            <w:b w:val="0"/>
            <w:i w:val="0"/>
            <w:sz w:val="20"/>
            <w:szCs w:val="20"/>
            <w:u w:val="none"/>
            <w:vertAlign w:val="baseline"/>
            <w:rtl w:val="0"/>
          </w:rPr>
          <w:t xml:space="preserve">Paola</w:t>
        </w:r>
      </w:hyperlink>
      <w:r w:rsidDel="00000000" w:rsidR="00000000" w:rsidRPr="00000000">
        <w:rPr>
          <w:rFonts w:ascii="Cambria" w:cs="Cambria" w:eastAsia="Cambria" w:hAnsi="Cambria"/>
          <w:b w:val="0"/>
          <w:i w:val="0"/>
          <w:sz w:val="20"/>
          <w:szCs w:val="20"/>
          <w:vertAlign w:val="baseline"/>
          <w:rtl w:val="0"/>
        </w:rPr>
        <w:t xml:space="preserve"> Cantù,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0"/>
          <w:szCs w:val="20"/>
          <w:vertAlign w:val="baseline"/>
          <w:rtl w:val="0"/>
        </w:rPr>
        <w:t xml:space="preserve">E qui casca l’asino</w:t>
      </w:r>
      <w:r w:rsidDel="00000000" w:rsidR="00000000" w:rsidRPr="00000000">
        <w:rPr>
          <w:rFonts w:ascii="Cambria" w:cs="Cambria" w:eastAsia="Cambria" w:hAnsi="Cambria"/>
          <w:b w:val="0"/>
          <w:i w:val="0"/>
          <w:sz w:val="20"/>
          <w:szCs w:val="20"/>
          <w:vertAlign w:val="baseline"/>
          <w:rtl w:val="0"/>
        </w:rPr>
        <w:t xml:space="preserve">, Bollati Boringhieri (2011)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aipass.org/abstract/dipentima.rtf" TargetMode="External"/><Relationship Id="rId6" Type="http://schemas.openxmlformats.org/officeDocument/2006/relationships/hyperlink" Target="http://www.aipass.org/abstract/dipentima.rtf" TargetMode="External"/><Relationship Id="rId7" Type="http://schemas.openxmlformats.org/officeDocument/2006/relationships/hyperlink" Target="https://nicolasmicheletti.wordpress.com/fallacia/#vaticano" TargetMode="External"/></Relationships>
</file>