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RUOLI_1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per il lavoro di gruppo nell’attività “Improvvisamente diversi”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7118"/>
        <w:tblGridChange w:id="0">
          <w:tblGrid>
            <w:gridCol w:w="2660"/>
            <w:gridCol w:w="7118"/>
          </w:tblGrid>
        </w:tblGridChange>
      </w:tblGrid>
      <w:tr>
        <w:trPr>
          <w:trHeight w:val="680" w:hRule="atLeast"/>
        </w:trPr>
        <w:tc>
          <w:tcPr>
            <w:tcBorders>
              <w:bottom w:color="000000" w:space="0" w:sz="4" w:val="single"/>
            </w:tcBorders>
            <w:shd w:fill="95b3d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vertAlign w:val="baseline"/>
                <w:rtl w:val="0"/>
              </w:rPr>
              <w:t xml:space="preserve">Ruolo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2d69b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vertAlign w:val="baseline"/>
                <w:rtl w:val="0"/>
              </w:rPr>
              <w:t xml:space="preserve">Mansioni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Informatico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opera alla postazione informatica centrale delle isole di lavoro;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collabora con i compagni e ne segue i consigli;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visiona le risorse assegnate al gruppo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;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Facilitatore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459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legge e ricorda la consegna ai compagni;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assegna turni di parola;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favorisce la partecipazione assicurandosi che tutti abbiano una parte attiva nel lavoro;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visiona le risorse assegnate al gruppo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;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Controllore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459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mantiene il controllo dei tempi;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evita interferenze con gli altri gruppi e richiama all’ordine;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studia la fallacia assegnata e la spiega al gruppo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;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459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riferisce alla classe gli esiti del proprio gruppo;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studia la fallacia assegnata e la spiega al gruppo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