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RUOLI_2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per il lavoro di gruppo nell’attività “Improvvisamente diversi”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7118"/>
        <w:tblGridChange w:id="0">
          <w:tblGrid>
            <w:gridCol w:w="2660"/>
            <w:gridCol w:w="7118"/>
          </w:tblGrid>
        </w:tblGridChange>
      </w:tblGrid>
      <w:tr>
        <w:trPr>
          <w:trHeight w:val="680" w:hRule="atLeast"/>
        </w:trPr>
        <w:tc>
          <w:tcPr>
            <w:tcBorders>
              <w:bottom w:color="000000" w:space="0" w:sz="4" w:val="single"/>
            </w:tcBorders>
            <w:shd w:fill="95b3d7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36"/>
                <w:szCs w:val="36"/>
                <w:vertAlign w:val="baseline"/>
                <w:rtl w:val="0"/>
              </w:rPr>
              <w:t xml:space="preserve">Ruolo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2d69b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36"/>
                <w:szCs w:val="36"/>
                <w:vertAlign w:val="baseline"/>
                <w:rtl w:val="0"/>
              </w:rPr>
              <w:t xml:space="preserve">Mansioni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Informatico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opera alla postazione informatica centrale delle isole di lavoro;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collabora con i compagni e ne segue i consigli;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partecipa alla riflessione comune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;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Facilitatore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459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legge e ricorda la consegna ai compagni;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assegna turni di parola;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favorisce la partecipazione assicurandosi che tutti abbiano una parte attiva nel lavoro;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459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partecipa alla riflessione comune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;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Controllore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459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mantiene il controllo dei tempi;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evita interferenze con gli altri gruppi e richiama all’ordine;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partecipa alla riflessione comune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;</w:t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459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riferisce alla classe gli esiti del proprio gruppo;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459" w:hanging="360"/>
              <w:contextualSpacing w:val="1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partecipa alla riflessione comune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>
      <w:pPr>
        <w:spacing w:after="20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vertAlign w:val="baseline"/>
          <w:rtl w:val="0"/>
        </w:rPr>
        <w:t xml:space="preserve">Ciascun membro del gruppo si assegna (a sua scelta) 2 fallacie tra quelle presentate nel documento “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8"/>
          <w:szCs w:val="28"/>
          <w:vertAlign w:val="baseline"/>
          <w:rtl w:val="0"/>
        </w:rPr>
        <w:t xml:space="preserve">Repertorio fallacie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vertAlign w:val="baseline"/>
          <w:rtl w:val="0"/>
        </w:rPr>
        <w:t xml:space="preserve">” e le illustra ai compagni durante la consegna.</w:t>
      </w:r>
    </w:p>
    <w:p w:rsidR="00000000" w:rsidDel="00000000" w:rsidP="00000000" w:rsidRDefault="00000000" w:rsidRPr="00000000">
      <w:pPr>
        <w:spacing w:after="200" w:before="0" w:line="276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